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b w:val="false"/>
          <w:bCs w:val="false"/>
        </w:rPr>
        <w:t xml:space="preserve">Drittlandtransfer-Baustein (Art. 44 ff. DSGVO) - TIA-Gerüst</w:t>
      </w:r>
    </w:p>
    <w:p>
      <w:pPr>
        <w:spacing w:after="160"/>
        <w:ind w:left="360"/>
      </w:pPr>
      <w:r>
        <w:rPr>
          <w:b/>
          <w:bCs/>
          <w:i/>
          <w:iCs/>
        </w:rPr>
        <w:t xml:space="preserve">v0.11 (2026-08-19) - Muster zur anwaltlichen Einzelfall-Anpassung, ohne Gewähr, ersetzt keine Rechtsberatung.</w:t>
      </w:r>
    </w:p>
    <w:p>
      <w:pPr>
        <w:spacing w:after="120"/>
      </w:pPr>
      <w:r>
        <w:rPr>
          <w:b/>
          <w:bCs/>
        </w:rPr>
        <w:t xml:space="preserve">Grundsatz.</w:t>
      </w:r>
      <w:r>
        <w:rPr>
          <w:b w:val="false"/>
          <w:bCs w:val="false"/>
        </w:rPr>
        <w:t xml:space="preserve"> „EU-Region" ist kein Transfermechanismus: Bei US-beherrschten Anbietern (Microsoft, Google) besteht CLOUD-Act-Exposition unabhängig vom Serverstandort; der Angemessenheits-Anker EU-US-DPF ist rechtlich umstritten. Deshalb weist Gosign den Transfer-Status </w:t>
      </w:r>
      <w:r>
        <w:rPr>
          <w:b/>
          <w:bCs/>
        </w:rPr>
        <w:t xml:space="preserve">je Bezugsweg</w:t>
      </w:r>
      <w:r>
        <w:rPr>
          <w:b w:val="false"/>
          <w:bCs w:val="false"/>
        </w:rPr>
        <w:t xml:space="preserve"> aus. CLOUD-Act-freie Wege sind vorgesehen.</w:t>
      </w:r>
    </w:p>
    <w:p>
      <w:pPr>
        <w:spacing w:after="120"/>
      </w:pPr>
      <w:r>
        <w:rPr>
          <w:b/>
          <w:bCs/>
        </w:rPr>
        <w:t xml:space="preserve">Transfer-Impact-Assessment (je Bezugsweg auszufüllen):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</w:rPr>
              <w:t xml:space="preserve">Prüfpunkt</w:t>
            </w:r>
          </w:p>
        </w:tc>
        <w:tc>
          <w:p>
            <w:r>
              <w:rPr>
                <w:b/>
                <w:bCs/>
              </w:rPr>
              <w:t xml:space="preserve">Azure (GPT)</w:t>
            </w:r>
          </w:p>
        </w:tc>
        <w:tc>
          <w:p>
            <w:r>
              <w:rPr>
                <w:b/>
                <w:bCs/>
              </w:rPr>
              <w:t xml:space="preserve">Google (Gemini/Claude-Std.)</w:t>
            </w:r>
          </w:p>
        </w:tc>
        <w:tc>
          <w:p>
            <w:r>
              <w:rPr>
                <w:b/>
                <w:bCs/>
              </w:rPr>
              <w:t xml:space="preserve">EU-Betreiber offener Modelle</w:t>
            </w:r>
          </w:p>
        </w:tc>
        <w:tc>
          <w:p>
            <w:r>
              <w:rPr>
                <w:b/>
                <w:bCs/>
              </w:rPr>
              <w:t xml:space="preserve">T-Systems/OTC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Anbieter-Herkunft / CLOUD-Act-Exposition</w:t>
            </w:r>
          </w:p>
        </w:tc>
        <w:tc>
          <w:p>
            <w:r>
              <w:rPr>
                <w:b w:val="false"/>
                <w:bCs w:val="false"/>
              </w:rPr>
              <w:t xml:space="preserve">US / ja</w:t>
            </w:r>
          </w:p>
        </w:tc>
        <w:tc>
          <w:p>
            <w:r>
              <w:rPr>
                <w:b w:val="false"/>
                <w:bCs w:val="false"/>
              </w:rPr>
              <w:t xml:space="preserve">Google (EU-Vertragspartei); Konzernmutter US / ja</w:t>
            </w:r>
          </w:p>
        </w:tc>
        <w:tc>
          <w:p>
            <w:r>
              <w:rPr>
                <w:b w:val="false"/>
                <w:bCs w:val="false"/>
              </w:rPr>
              <w:t xml:space="preserve">EU / nein</w:t>
            </w:r>
          </w:p>
        </w:tc>
        <w:tc>
          <w:p>
            <w:r>
              <w:rPr>
                <w:b w:val="false"/>
                <w:bCs w:val="false"/>
              </w:rPr>
              <w:t xml:space="preserve">EU (DE) / nein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US-Zugriffsrechtslage (FISA 702 / EO 12333; EDPB Empfehlungen 01/2020)</w:t>
            </w:r>
          </w:p>
        </w:tc>
        <w:tc>
          <w:p>
            <w:r>
              <w:rPr>
                <w:b w:val="false"/>
                <w:bCs w:val="false"/>
              </w:rPr>
              <w:t xml:space="preserve">prüfen und dokumentieren</w:t>
            </w:r>
          </w:p>
        </w:tc>
        <w:tc>
          <w:p>
            <w:r>
              <w:rPr>
                <w:b w:val="false"/>
                <w:bCs w:val="false"/>
              </w:rPr>
              <w:t xml:space="preserve">prüfen und dokumentieren</w:t>
            </w:r>
          </w:p>
        </w:tc>
        <w:tc>
          <w:p>
            <w:r>
              <w:rPr>
                <w:b w:val="false"/>
                <w:bCs w:val="false"/>
              </w:rPr>
              <w:t xml:space="preserve">entfällt</w:t>
            </w:r>
          </w:p>
        </w:tc>
        <w:tc>
          <w:p>
            <w:r>
              <w:rPr>
                <w:b w:val="false"/>
                <w:bCs w:val="false"/>
              </w:rPr>
              <w:t xml:space="preserve">entfällt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Verarbeitungsregion</w:t>
            </w:r>
          </w:p>
        </w:tc>
        <w:tc>
          <w:p>
            <w:r>
              <w:rPr>
                <w:b w:val="false"/>
                <w:bCs w:val="false"/>
              </w:rPr>
              <w:t xml:space="preserve">EU Data Zone</w:t>
            </w:r>
          </w:p>
        </w:tc>
        <w:tc>
          <w:p>
            <w:r>
              <w:rPr>
                <w:b w:val="false"/>
                <w:bCs w:val="false"/>
              </w:rPr>
              <w:t xml:space="preserve">EU-Endpunkt</w:t>
            </w:r>
          </w:p>
        </w:tc>
        <w:tc>
          <w:p>
            <w:r>
              <w:rPr>
                <w:b w:val="false"/>
                <w:bCs w:val="false"/>
              </w:rPr>
              <w:t xml:space="preserve">EU/DE</w:t>
            </w:r>
          </w:p>
        </w:tc>
        <w:tc>
          <w:p>
            <w:r>
              <w:rPr>
                <w:b w:val="false"/>
                <w:bCs w:val="false"/>
              </w:rPr>
              <w:t xml:space="preserve">DE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Rechtsgrundlage Transfer</w:t>
            </w:r>
          </w:p>
        </w:tc>
        <w:tc>
          <w:p>
            <w:r>
              <w:rPr>
                <w:b w:val="false"/>
                <w:bCs w:val="false"/>
              </w:rPr>
              <w:t xml:space="preserve">SCC + DPF-Status prüfen (SCC nach Art. 46 Abs. 2 lit. c DSGVO, Modul je Konstellation)</w:t>
            </w:r>
          </w:p>
        </w:tc>
        <w:tc>
          <w:p>
            <w:r>
              <w:rPr>
                <w:b w:val="false"/>
                <w:bCs w:val="false"/>
              </w:rPr>
              <w:t xml:space="preserve">SCC + DPF-Status prüfen (SCC nach Art. 46 Abs. 2 lit. c DSGVO, Modul je Konstellation)</w:t>
            </w:r>
          </w:p>
        </w:tc>
        <w:tc>
          <w:p>
            <w:r>
              <w:rPr>
                <w:b w:val="false"/>
                <w:bCs w:val="false"/>
              </w:rPr>
              <w:t xml:space="preserve">entfällt</w:t>
            </w:r>
          </w:p>
        </w:tc>
        <w:tc>
          <w:p>
            <w:r>
              <w:rPr>
                <w:b w:val="false"/>
                <w:bCs w:val="false"/>
              </w:rPr>
              <w:t xml:space="preserve">entfällt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Ergänzende Maßnahmen</w:t>
            </w:r>
          </w:p>
        </w:tc>
        <w:tc>
          <w:p>
            <w:r>
              <w:rPr>
                <w:b w:val="false"/>
                <w:bCs w:val="false"/>
              </w:rPr>
              <w:t xml:space="preserve">Pseudonymisierung via Gosign-Gateway, Zero-Retention, kein Human-Review (Eligibility)</w:t>
            </w:r>
          </w:p>
        </w:tc>
        <w:tc>
          <w:p>
            <w:r>
              <w:rPr>
                <w:b w:val="false"/>
                <w:bCs w:val="false"/>
              </w:rPr>
              <w:t xml:space="preserve">vertragliche § 203-Verpflichtung wirksam (Instrument und Stand: vollständige Fassung), Pseudonymisierung via Gosign-Gateway, Zero-Retention</w:t>
            </w:r>
          </w:p>
        </w:tc>
        <w:tc>
          <w:p>
            <w:r>
              <w:rPr>
                <w:b w:val="false"/>
                <w:bCs w:val="false"/>
              </w:rPr>
              <w:t xml:space="preserve">Vertrags-/EU-Kette</w:t>
            </w:r>
          </w:p>
        </w:tc>
        <w:tc>
          <w:p>
            <w:r>
              <w:rPr>
                <w:b w:val="false"/>
                <w:bCs w:val="false"/>
              </w:rPr>
              <w:t xml:space="preserve">Vertrags-/DE-Kette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Rest-Risiko-Einordnung</w:t>
            </w:r>
          </w:p>
        </w:tc>
        <w:tc>
          <w:p>
            <w:r>
              <w:rPr>
                <w:b w:val="false"/>
                <w:bCs w:val="false"/>
              </w:rPr>
              <w:t xml:space="preserve">dokumentieren</w:t>
            </w:r>
          </w:p>
        </w:tc>
        <w:tc>
          <w:p>
            <w:r>
              <w:rPr>
                <w:b w:val="false"/>
                <w:bCs w:val="false"/>
              </w:rPr>
              <w:t xml:space="preserve">dokumentieren</w:t>
            </w:r>
          </w:p>
        </w:tc>
        <w:tc>
          <w:p>
            <w:r>
              <w:rPr>
                <w:b w:val="false"/>
                <w:bCs w:val="false"/>
              </w:rPr>
              <w:t xml:space="preserve">niedrig</w:t>
            </w:r>
          </w:p>
        </w:tc>
        <w:tc>
          <w:p>
            <w:r>
              <w:rPr>
                <w:b w:val="false"/>
                <w:bCs w:val="false"/>
              </w:rPr>
              <w:t xml:space="preserve">niedrig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Status je Bezugsweg.</w:t>
      </w:r>
      <w:r>
        <w:rPr>
          <w:b w:val="false"/>
          <w:bCs w:val="false"/>
        </w:rPr>
        <w:t xml:space="preserve"> Für Azure, Google, den EU-Betreiber offener Modelle und T-Systems/OTC besteht je eine vertragliche § 203-Verpflichtung; Instrument, Geltungsbereich und Stand sind Teil der vollständigen Fassung und für die anwaltliche Prüfung entscheidend. Die vollständige Fassung mit Instrument und Stand ist auf Anforderung über die Lieferantenkette erhältlich.</w:t>
      </w:r>
    </w:p>
    <w:p>
      <w:pPr>
        <w:spacing w:after="120"/>
      </w:pPr>
      <w:r>
        <w:rPr>
          <w:b/>
          <w:bCs/>
        </w:rPr>
        <w:t xml:space="preserve">Hinweis für Berufsgeheimnisträger:</w:t>
      </w:r>
      <w:r>
        <w:rPr>
          <w:b w:val="false"/>
          <w:bCs w:val="false"/>
        </w:rPr>
        <w:t xml:space="preserve"> Unabhängig von der DSGVO-Ebene ist die </w:t>
      </w:r>
      <w:r>
        <w:rPr>
          <w:b/>
          <w:bCs/>
        </w:rPr>
        <w:t xml:space="preserve">berufsrechtliche Auslandsschranke</w:t>
      </w:r>
      <w:r>
        <w:rPr>
          <w:b w:val="false"/>
          <w:bCs w:val="false"/>
        </w:rPr>
        <w:t xml:space="preserve"> zu prüfen (§ 43e Abs. 4 BRAO, § 62a Abs. 4 StBerG, § 50a Abs. 4 WPO - vergleichbarer Geheimnisschutz im Ausland). Die Norm knüpft tatbestandlich an jede im Ausland erbrachte Dienstleistung an, nicht erst an ein Drittland: Für die oben als „entfällt" markierten EU-Anbieter gilt das nur für die DSGVO-Kap.-V-Transferebene - die Auslandsschranke ist gesondert zu prüfen, sofern deren Verarbeitung außerhalb Deutschlands stattfindet. Für US-Wege empfiehlt sich die Kombination aus Gateway-Pseudonymisierung und - soweit einschlägig - Mandanteneinwilligung (Muster im Baustein zu Aufbewahrung, Einwilligung und Transparenz).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Drittlandtransfer-Baustein (TIA/SCC)</dc:title>
  <dc:creator>Gosign GmbH</dc:creator>
  <dc:description>203er-Vertragskit — Muster zur anwaltlichen Einzelfall-Anpassung</dc:description>
  <cp:lastModifiedBy>Un-named</cp:lastModifiedBy>
  <cp:revision>1</cp:revision>
  <dcterms:created xsi:type="dcterms:W3CDTF">2026-08-20T05:10:43.232Z</dcterms:created>
  <dcterms:modified xsi:type="dcterms:W3CDTF">2026-08-20T05:10:43.232Z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