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b w:val="false"/>
          <w:bCs w:val="false"/>
        </w:rPr>
        <w:t xml:space="preserve">Retention-Matrix · Muster-Mandanteneinwilligung · Transparenzhinweis</w:t>
      </w:r>
    </w:p>
    <w:p>
      <w:pPr>
        <w:spacing w:after="160"/>
        <w:ind w:left="360"/>
      </w:pPr>
      <w:r>
        <w:rPr>
          <w:b/>
          <w:bCs/>
          <w:i/>
          <w:iCs/>
        </w:rPr>
        <w:t xml:space="preserve">v0.11 (2026-08-19) - Muster zur anwaltlichen Einzelfall-Anpassung, ohne Gewähr, ersetzt keine Rechtsberatung.</w:t>
      </w:r>
    </w:p>
    <w:p>
      <w:pPr>
        <w:pStyle w:val="Heading2"/>
        <w:spacing w:after="120" w:before="240"/>
      </w:pPr>
      <w:r>
        <w:rPr>
          <w:b w:val="false"/>
          <w:bCs w:val="false"/>
        </w:rPr>
        <w:t xml:space="preserve">1. Aufbewahrungs-/Löschmatrix (Entwurf)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</w:rPr>
              <w:t xml:space="preserve">Datenart</w:t>
            </w:r>
          </w:p>
        </w:tc>
        <w:tc>
          <w:p>
            <w:r>
              <w:rPr>
                <w:b/>
                <w:bCs/>
              </w:rPr>
              <w:t xml:space="preserve">Ort</w:t>
            </w:r>
          </w:p>
        </w:tc>
        <w:tc>
          <w:p>
            <w:r>
              <w:rPr>
                <w:b/>
                <w:bCs/>
              </w:rPr>
              <w:t xml:space="preserve">Aufbewahrung</w:t>
            </w:r>
          </w:p>
        </w:tc>
        <w:tc>
          <w:p>
            <w:r>
              <w:rPr>
                <w:b/>
                <w:bCs/>
              </w:rPr>
              <w:t xml:space="preserve">Löschung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Klartext-Eingaben/-Ausgaben</w:t>
            </w:r>
          </w:p>
        </w:tc>
        <w:tc>
          <w:p>
            <w:r>
              <w:rPr>
                <w:b w:val="false"/>
                <w:bCs w:val="false"/>
              </w:rPr>
              <w:t xml:space="preserve">Gosign-Gateway</w:t>
            </w:r>
          </w:p>
        </w:tc>
        <w:tc>
          <w:p>
            <w:r>
              <w:rPr>
                <w:b w:val="false"/>
                <w:bCs w:val="false"/>
              </w:rPr>
              <w:t xml:space="preserve">keine Persistenz (transient)</w:t>
            </w:r>
          </w:p>
        </w:tc>
        <w:tc>
          <w:p>
            <w:r>
              <w:rPr>
                <w:b w:val="false"/>
                <w:bCs w:val="false"/>
              </w:rPr>
              <w:t xml:space="preserve">sofort nach Verarbeitung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Pseudonym-Mappings</w:t>
            </w:r>
          </w:p>
        </w:tc>
        <w:tc>
          <w:p>
            <w:r>
              <w:rPr>
                <w:b w:val="false"/>
                <w:bCs w:val="false"/>
              </w:rPr>
              <w:t xml:space="preserve">Gateway (mandantenverschlüsselt)</w:t>
            </w:r>
          </w:p>
        </w:tc>
        <w:tc>
          <w:p>
            <w:r>
              <w:rPr>
                <w:b w:val="false"/>
                <w:bCs w:val="false"/>
              </w:rPr>
              <w:t xml:space="preserve">TTL [z. B. Sitzungsdauer/24 h]</w:t>
            </w:r>
          </w:p>
        </w:tc>
        <w:tc>
          <w:p>
            <w:r>
              <w:rPr>
                <w:b w:val="false"/>
                <w:bCs w:val="false"/>
              </w:rPr>
              <w:t xml:space="preserve">automatisch nach TTL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Audit-Protokoll (klartextfrei, Hashes + Metadaten)</w:t>
            </w:r>
          </w:p>
        </w:tc>
        <w:tc>
          <w:p>
            <w:r>
              <w:rPr>
                <w:b w:val="false"/>
                <w:bCs w:val="false"/>
              </w:rPr>
              <w:t xml:space="preserve">Gosign</w:t>
            </w:r>
          </w:p>
        </w:tc>
        <w:tc>
          <w:p>
            <w:r>
              <w:rPr>
                <w:b w:val="false"/>
                <w:bCs w:val="false"/>
              </w:rPr>
              <w:t xml:space="preserve">10 Jahre (Eigen-Policy¹)</w:t>
            </w:r>
          </w:p>
        </w:tc>
        <w:tc>
          <w:p>
            <w:r>
              <w:rPr>
                <w:b w:val="false"/>
                <w:bCs w:val="false"/>
              </w:rPr>
              <w:t xml:space="preserve">danach Löschung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Buchungsbelege/Rechnungen</w:t>
            </w:r>
          </w:p>
        </w:tc>
        <w:tc>
          <w:p>
            <w:r>
              <w:rPr>
                <w:b w:val="false"/>
                <w:bCs w:val="false"/>
              </w:rPr>
              <w:t xml:space="preserve">Gosign</w:t>
            </w:r>
          </w:p>
        </w:tc>
        <w:tc>
          <w:p>
            <w:r>
              <w:rPr>
                <w:b w:val="false"/>
                <w:bCs w:val="false"/>
              </w:rPr>
              <w:t xml:space="preserve">8 Jahre (§ 147 Abs. 3 S. 1 i.V.m. Abs. 1 Nr. 4 AO; § 257 Abs. 4 i.V.m. Abs. 1 Nr. 4 HGB - seit BEG IV 01.01.2025; Rechnungen zudem § 14b UStG - 8 Jahre)</w:t>
            </w:r>
          </w:p>
        </w:tc>
        <w:tc>
          <w:p>
            <w:r>
              <w:rPr>
                <w:b w:val="false"/>
                <w:bCs w:val="false"/>
              </w:rPr>
              <w:t xml:space="preserve">danach Löschung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Bücher/Aufzeichnungen/Jahresabschlüsse</w:t>
            </w:r>
          </w:p>
        </w:tc>
        <w:tc>
          <w:p>
            <w:r>
              <w:rPr>
                <w:b w:val="false"/>
                <w:bCs w:val="false"/>
              </w:rPr>
              <w:t xml:space="preserve">Gosign</w:t>
            </w:r>
          </w:p>
        </w:tc>
        <w:tc>
          <w:p>
            <w:r>
              <w:rPr>
                <w:b w:val="false"/>
                <w:bCs w:val="false"/>
              </w:rPr>
              <w:t xml:space="preserve">10 Jahre (§ 147 Abs. 3 S. 1 i.V.m. Abs. 1 Nr. 1 AO; § 257 Abs. 4 i.V.m. Abs. 1 Nr. 1 HGB)</w:t>
            </w:r>
          </w:p>
        </w:tc>
        <w:tc>
          <w:p>
            <w:r>
              <w:rPr>
                <w:b w:val="false"/>
                <w:bCs w:val="false"/>
              </w:rPr>
              <w:t xml:space="preserve">danach Löschung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Handels-/Geschäftsbriefe u. sonstige bedeutsame Unterlagen</w:t>
            </w:r>
          </w:p>
        </w:tc>
        <w:tc>
          <w:p>
            <w:r>
              <w:rPr>
                <w:b w:val="false"/>
                <w:bCs w:val="false"/>
              </w:rPr>
              <w:t xml:space="preserve">Gosign</w:t>
            </w:r>
          </w:p>
        </w:tc>
        <w:tc>
          <w:p>
            <w:r>
              <w:rPr>
                <w:b w:val="false"/>
                <w:bCs w:val="false"/>
              </w:rPr>
              <w:t xml:space="preserve">6 Jahre (Handels-/Geschäftsbriefe: § 147 Abs. 3 S. 1 i.V.m. Abs. 1 Nr. 2/3 AO, § 257 Abs. 4 i.V.m. Abs. 1 Nr. 2/3 HGB; sonstige für die Besteuerung bedeutsame Unterlagen: § 147 Abs. 1 Nr. 5 AO)</w:t>
            </w:r>
          </w:p>
        </w:tc>
        <w:tc>
          <w:p>
            <w:r>
              <w:rPr>
                <w:b w:val="false"/>
                <w:bCs w:val="false"/>
              </w:rPr>
              <w:t xml:space="preserve">danach Löschung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Modell-seitige Verarbeitung</w:t>
            </w:r>
          </w:p>
        </w:tc>
        <w:tc>
          <w:p>
            <w:r>
              <w:rPr>
                <w:b w:val="false"/>
                <w:bCs w:val="false"/>
              </w:rPr>
              <w:t xml:space="preserve">je Bezugsweg</w:t>
            </w:r>
          </w:p>
        </w:tc>
        <w:tc>
          <w:p>
            <w:r>
              <w:rPr>
                <w:b w:val="false"/>
                <w:bCs w:val="false"/>
              </w:rPr>
              <w:t xml:space="preserve">Zero-Retention-Konfigurationen (Trust-Center des Anbieters: preview.veryai.de/trust-center)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¹ Kein Handelsbuch/Buchungsbeleg i. S. d. § 147 AO/§ 257 HGB; Dauer als selbstgewählte, DSGVO-geprüfte Frist mit dokumentierter Erforderlichkeit und Löschkonzept nach Art. 17 DSGVO auszuweisen, nicht als GoBD-Pflicht. Für alle Fristen gilt: Löschtrigger ist je Datensatz die längste einschlägige gesetzliche Frist (Art. 5 Abs. 1 lit. e DSGVO) - keine pauschale Über-Aufbewahrung, keine verfrühte Löschung entgegen § 147 AO/§ 257 HGB.</w:t>
      </w:r>
    </w:p>
    <w:p>
      <w:pPr>
        <w:pStyle w:val="Heading2"/>
        <w:spacing w:after="120" w:before="240"/>
      </w:pPr>
      <w:r>
        <w:rPr>
          <w:b w:val="false"/>
          <w:bCs w:val="false"/>
        </w:rPr>
        <w:t xml:space="preserve">2. Muster-Einwilligung der Mandantschaft (soweit einschlägig)</w:t>
      </w:r>
    </w:p>
    <w:p>
      <w:pPr>
        <w:spacing w:after="120"/>
      </w:pPr>
      <w:r>
        <w:rPr>
          <w:b w:val="false"/>
          <w:bCs w:val="false"/>
        </w:rPr>
        <w:t xml:space="preserve">„Ich willige ein, dass [Kanzlei] zur Bearbeitung meines Mandats KI-gestützte Dienste der Gosign GmbH einsetzt. Dabei werden mandatsbezogene Inhalte vor der Verarbeitung durch KI-Modelle pseudonymisiert; die eingesetzten Dienstleister sind in Textform unter Belehrung über die strafrechtlichen Folgen zur Verschwiegenheit verpflichtet (§ 43e BRAO / § 62a StBerG / § 50a WPO), strafrechtlich flankiert durch § 203 StGB, bzw. technisch vom Klartext-Zugriff ausgeschlossen ([Bezugswege benennen]). Diese Einwilligung ist freiwillig und mit Wirkung für die Zukunft widerruflich; die Mandatsbearbeitung bleibt auch ohne Einwilligung möglich [Alternative beschreiben]." *(Erforderlichkeit je Berufsrecht prüfen: § 43e Abs. 5 BRAO, § 62a Abs. 5 StBerG und § 50a Abs. 5 WPO verlangen wortgleich die Einwilligung des Mandanten, sobald ein Dienstleister unmittelbar einem einzelnen Mandat dient. Bei genereller, mandatsübergreifender Kanzlei-Infrastruktur (§ 43e Abs. 1-3 BRAO bzw. die parallelen Absätze in StBerG/WPO) ist die Einwilligung nicht der Regelweg; dort genügen Textform-Vertrag und Verschwiegenheitsverpflichtung des Dienstleisters.)*</w:t>
      </w:r>
    </w:p>
    <w:p>
      <w:pPr>
        <w:pStyle w:val="Heading3"/>
        <w:spacing w:after="120" w:before="240"/>
      </w:pPr>
      <w:r>
        <w:rPr>
          <w:b w:val="false"/>
          <w:bCs w:val="false"/>
        </w:rPr>
        <w:t xml:space="preserve">Beteiligten-Variante für Notare (§ 26a Abs. 4 BNotO)</w:t>
      </w:r>
    </w:p>
    <w:p>
      <w:pPr>
        <w:spacing w:after="120"/>
      </w:pPr>
      <w:r>
        <w:rPr>
          <w:b w:val="false"/>
          <w:bCs w:val="false"/>
        </w:rPr>
        <w:t xml:space="preserve">„Ich willige als Beteiligte/r ein, dass [Notariat] zur Vorbereitung des Amtsgeschäfts [Bezeichnung] KI-gestützte Dienste der Gosign GmbH einsetzt. Dabei werden vorgangsbezogene Inhalte vor der Verarbeitung durch KI-Modelle pseudonymisiert; die eingesetzten Dienstleister sind in Textform unter Belehrung über die strafrechtlichen Folgen zur Verschwiegenheit verpflichtet (§ 26a Abs. 3 BNotO), strafrechtlich flankiert durch § 203 StGB, bzw. technisch vom Klartext-Zugriff ausgeschlossen ([Bezugswege benennen]). Diese Einwilligung ist freiwillig und mit Wirkung für die Zukunft widerruflich; die Vornahme des Amtsgeschäfts bleibt auch ohne Einwilligung möglich [Alternative beschreiben]." *(§ 26a Abs. 4 BNotO verlangt die Einwilligung der Beteiligten, wenn die Dienstleistung unmittelbar einem einzelnen Amtsgeschäft dient; bei genereller, vorgangsübergreifender Infrastruktur des Notariats ist die Einwilligung nicht der Regelweg - dort tragen Textform-Vertrag, Belehrung und Kettenverpflichtung nach § 26a Abs. 2 und 3 BNotO.)*</w:t>
      </w:r>
    </w:p>
    <w:p>
      <w:pPr>
        <w:pStyle w:val="Heading2"/>
        <w:spacing w:after="120" w:before="240"/>
      </w:pPr>
      <w:r>
        <w:rPr>
          <w:b w:val="false"/>
          <w:bCs w:val="false"/>
        </w:rPr>
        <w:t xml:space="preserve">3. Transparenzhinweis (Art. 13/14) - Baustein für die Datenschutzerklärung der Kanzlei</w:t>
      </w:r>
    </w:p>
    <w:p>
      <w:pPr>
        <w:spacing w:after="120"/>
      </w:pPr>
      <w:r>
        <w:rPr>
          <w:b w:val="false"/>
          <w:bCs w:val="false"/>
        </w:rPr>
        <w:t xml:space="preserve">„Zur Unterstützung der Mandatsbearbeitung setzen wir KI-gestützte Dienste der Gosign GmbH (Hamburg) ein. Inhalte werden vor der Verarbeitung pseudonymisiert; es besteht ein Auftragsverarbeitungsvertrag nebst Verschwiegenheits-Zusatzvereinbarung nach § 43e BRAO / § 62a StBerG / § 50a WPO (mit Belehrung über § 203 StGB). Verarbeitungsorte und eingesetzte Unterauftragsverarbeiter: [Verweis auf Subprozessoren-Übersicht]. Speicherdauern: [Verweis auf Matrix]."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Aufbewahrung, Einwilligung und Transparenz</dc:title>
  <dc:creator>Gosign GmbH</dc:creator>
  <dc:description>203er-Vertragskit — Muster zur anwaltlichen Einzelfall-Anpassung</dc:description>
  <cp:lastModifiedBy>Un-named</cp:lastModifiedBy>
  <cp:revision>1</cp:revision>
  <dcterms:created xsi:type="dcterms:W3CDTF">2026-08-20T05:10:43.098Z</dcterms:created>
  <dcterms:modified xsi:type="dcterms:W3CDTF">2026-08-20T05:10:43.098Z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