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 w:before="240"/>
      </w:pPr>
      <w:r>
        <w:rPr>
          <w:b w:val="false"/>
          <w:bCs w:val="false"/>
        </w:rPr>
        <w:t xml:space="preserve">DSFA-Vorlage (Art. 35 DSGVO) - mit Gosign-Zulieferbausteinen</w:t>
      </w:r>
    </w:p>
    <w:p>
      <w:pPr>
        <w:spacing w:after="160"/>
        <w:ind w:left="360"/>
      </w:pPr>
      <w:r>
        <w:rPr>
          <w:b/>
          <w:bCs/>
          <w:i/>
          <w:iCs/>
        </w:rPr>
        <w:t xml:space="preserve">v0.11 (2026-08-19) - Muster zur anwaltlichen Einzelfall-Anpassung, ohne Gewähr, ersetzt keine Rechtsberatung.</w:t>
      </w:r>
    </w:p>
    <w:p>
      <w:pPr>
        <w:spacing w:after="120"/>
      </w:pPr>
      <w:r>
        <w:rPr>
          <w:b w:val="false"/>
          <w:bCs w:val="false"/>
        </w:rPr>
        <w:t xml:space="preserve">Die DSFA obliegt dem Verantwortlichen (Kanzlei/Praxis); Gosign unterstützt nach Art. 28 Abs. 3 lit. f DSGVO mit den folgenden Zulieferbausteinen. Bei Berufsgeheimnis-Daten und KI-Einsatz ist eine DSFA regelmäßig erforderlich (DSK-Orientierungshilfe KI 2024).</w:t>
      </w:r>
    </w:p>
    <w:p>
      <w:pPr>
        <w:spacing w:after="120"/>
      </w:pPr>
      <w:r>
        <w:rPr>
          <w:b/>
          <w:bCs/>
        </w:rPr>
        <w:t xml:space="preserve">1. Beschreibung der Verarbeitung (Gosign-Zulieferung):</w:t>
      </w:r>
      <w:r>
        <w:rPr>
          <w:b w:val="false"/>
          <w:bCs w:val="false"/>
        </w:rPr>
        <w:t xml:space="preserve"> Datenfluss Kanzlei → Gosign-Gateway (Pseudonymisierung, transient) → Modell-Anbieter (je Bezugsweg, siehe Trust-Center des Anbieters: preview.veryai.de/trust-center) → Rückgabe (Wieder-Einsetzung) → Kanzlei. Keine Klartext-Persistenz im Gateway; klartextfreies Audit-Protokoll.</w:t>
      </w:r>
    </w:p>
    <w:p>
      <w:pPr>
        <w:spacing w:after="120"/>
      </w:pPr>
      <w:r>
        <w:rPr>
          <w:b/>
          <w:bCs/>
        </w:rPr>
        <w:t xml:space="preserve">2. Notwendigkeit/Verhältnismäßigkeit (Kanzlei):</w:t>
      </w:r>
      <w:r>
        <w:rPr>
          <w:b w:val="false"/>
          <w:bCs w:val="false"/>
        </w:rPr>
        <w:t xml:space="preserve"> Zweck, Alternativen, Datenminimierung (Pseudonymisierung als Maßnahme - sie ersetzt die Rechtsgrundlage nicht).</w:t>
      </w:r>
    </w:p>
    <w:p>
      <w:pPr>
        <w:spacing w:after="120"/>
      </w:pPr>
      <w:r>
        <w:rPr>
          <w:b/>
          <w:bCs/>
        </w:rPr>
        <w:t xml:space="preserve">3. Risiken und Abhilfen (Gerüst):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p>
            <w:r>
              <w:rPr>
                <w:b/>
                <w:bCs/>
              </w:rPr>
              <w:t xml:space="preserve">Risiko</w:t>
            </w:r>
          </w:p>
        </w:tc>
        <w:tc>
          <w:p>
            <w:r>
              <w:rPr>
                <w:b/>
                <w:bCs/>
              </w:rPr>
              <w:t xml:space="preserve">Abhilfe (Gosign-Baustein)</w:t>
            </w:r>
          </w:p>
        </w:tc>
        <w:tc>
          <w:p>
            <w:r>
              <w:rPr>
                <w:b/>
                <w:bCs/>
              </w:rPr>
              <w:t xml:space="preserve">Rest-Risiko (Kanzlei bewertet)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</w:rPr>
              <w:t xml:space="preserve">Vertraulichkeitsbruch beim Anbieter</w:t>
            </w:r>
          </w:p>
        </w:tc>
        <w:tc>
          <w:p>
            <w:r>
              <w:rPr>
                <w:b w:val="false"/>
                <w:bCs w:val="false"/>
              </w:rPr>
              <w:t xml:space="preserve">203er-Kette, No-Human-Access-Konfigurationen, Zero-Retention</w:t>
            </w:r>
          </w:p>
        </w:tc>
        <w:tc>
          <w:p>
            <w:r>
              <w:rPr>
                <w:b w:val="false"/>
                <w:bCs w:val="false"/>
              </w:rPr>
              <w:t xml:space="preserve">…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</w:rPr>
              <w:t xml:space="preserve">Re-Identifikation trotz Pseudonymisierung</w:t>
            </w:r>
          </w:p>
        </w:tc>
        <w:tc>
          <w:p>
            <w:r>
              <w:rPr>
                <w:b w:val="false"/>
                <w:bCs w:val="false"/>
              </w:rPr>
              <w:t xml:space="preserve">Kontext-Minimierung, nutzerseitige Freigabe bei Unsicherheit</w:t>
            </w:r>
          </w:p>
        </w:tc>
        <w:tc>
          <w:p>
            <w:r>
              <w:rPr>
                <w:b w:val="false"/>
                <w:bCs w:val="false"/>
              </w:rPr>
              <w:t xml:space="preserve">…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</w:rPr>
              <w:t xml:space="preserve">Drittlandzugriff (US-Wege)</w:t>
            </w:r>
          </w:p>
        </w:tc>
        <w:tc>
          <w:p>
            <w:r>
              <w:rPr>
                <w:b w:val="false"/>
                <w:bCs w:val="false"/>
              </w:rPr>
              <w:t xml:space="preserve">TIA-Baustein, CLOUD-Act-freie Alternativwege</w:t>
            </w:r>
          </w:p>
        </w:tc>
        <w:tc>
          <w:p>
            <w:r>
              <w:rPr>
                <w:b w:val="false"/>
                <w:bCs w:val="false"/>
              </w:rPr>
              <w:t xml:space="preserve">…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</w:rPr>
              <w:t xml:space="preserve">Fehlende Nachweisbarkeit</w:t>
            </w:r>
          </w:p>
        </w:tc>
        <w:tc>
          <w:p>
            <w:r>
              <w:rPr>
                <w:b w:val="false"/>
                <w:bCs w:val="false"/>
              </w:rPr>
              <w:t xml:space="preserve">hash-verkettetes, klartextfreies Audit-Protokoll</w:t>
            </w:r>
          </w:p>
        </w:tc>
        <w:tc>
          <w:p>
            <w:r>
              <w:rPr>
                <w:b w:val="false"/>
                <w:bCs w:val="false"/>
              </w:rPr>
              <w:t xml:space="preserve">…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 w:val="false"/>
          <w:bCs w:val="false"/>
        </w:rPr>
        <w:t xml:space="preserve">Bei hohem Restrisiko trotz Abhilfemaßnahmen: Vorabkonsultation der Aufsichtsbehörde nach Art. 36 DSGVO.</w:t>
      </w:r>
    </w:p>
    <w:p>
      <w:pPr>
        <w:spacing w:after="120"/>
      </w:pPr>
      <w:r>
        <w:rPr>
          <w:b/>
          <w:bCs/>
        </w:rPr>
        <w:t xml:space="preserve">4. Konsultation/Dokumentation (Kanzlei):</w:t>
      </w:r>
      <w:r>
        <w:rPr>
          <w:b w:val="false"/>
          <w:bCs w:val="false"/>
        </w:rPr>
        <w:t xml:space="preserve"> DSB einbinden; Ergebnis versionieren; Überprüfung bei Bezugsweg-Änderungen (Gosign informiert über Subprozessoren-Änderungen vorab).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Datenschutz-Folgenabschätzung — Vorlage</dc:title>
  <dc:creator>Gosign GmbH</dc:creator>
  <dc:description>203er-Vertragskit — Muster zur anwaltlichen Einzelfall-Anpassung</dc:description>
  <cp:lastModifiedBy>Un-named</cp:lastModifiedBy>
  <cp:revision>1</cp:revision>
  <dcterms:created xsi:type="dcterms:W3CDTF">2026-08-20T05:10:42.974Z</dcterms:created>
  <dcterms:modified xsi:type="dcterms:W3CDTF">2026-08-20T05:10:42.974Z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