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b w:val="false"/>
          <w:bCs w:val="false"/>
        </w:rPr>
        <w:t xml:space="preserve">AVV-Baustein (Art. 28 DSGVO) - Gosign-Selbstverpflichtung und Gateway-Regeln</w:t>
      </w:r>
    </w:p>
    <w:p>
      <w:pPr>
        <w:spacing w:after="160"/>
        <w:ind w:left="360"/>
      </w:pPr>
      <w:r>
        <w:rPr>
          <w:b/>
          <w:bCs/>
          <w:i/>
          <w:iCs/>
        </w:rPr>
        <w:t xml:space="preserve">v0.11 (2026-08-19) - Muster zur anwaltlichen Einzelfall-Anpassung, ohne Gewähr, ersetzt keine Rechtsberatung.</w:t>
      </w:r>
    </w:p>
    <w:p>
      <w:pPr>
        <w:spacing w:after="120"/>
      </w:pPr>
      <w:r>
        <w:rPr>
          <w:b w:val="false"/>
          <w:bCs w:val="false"/>
        </w:rPr>
        <w:t xml:space="preserve">Dieser Baustein ergänzt den Auftragsverarbeitungsvertrag zwischen Kanzlei/ Praxis (Verantwortlicher) und Gosign GmbH (Auftragsverarbeiter) um die für Berufsgeheimnisträger wesentlichen Zusagen. Er benennt Gosign ausdrücklich als </w:t>
      </w:r>
      <w:r>
        <w:rPr>
          <w:b/>
          <w:bCs/>
        </w:rPr>
        <w:t xml:space="preserve">eigenes verpflichtetes Glied der 203er-Kette</w:t>
      </w:r>
      <w:r>
        <w:rPr>
          <w:b w:val="false"/>
          <w:bCs w:val="false"/>
        </w:rPr>
        <w:t xml:space="preserve"> - nicht nur die nachgelagerten Modell-Anbieter. Dieser Baustein ergänzt den Haupt-AVV; die lit.-a-Weisungsausnahme und die Remonstrationspflicht (Art. 28 Abs. 3 UAbs. 2 DSGVO) deckt der Haupt-AVV ab.</w:t>
      </w:r>
    </w:p>
    <w:p>
      <w:pPr>
        <w:spacing w:after="120"/>
      </w:pPr>
      <w:r>
        <w:rPr>
          <w:b/>
          <w:bCs/>
        </w:rPr>
        <w:t xml:space="preserve">1. Gegenstand.</w:t>
      </w:r>
      <w:r>
        <w:rPr>
          <w:b w:val="false"/>
          <w:bCs w:val="false"/>
        </w:rPr>
        <w:t xml:space="preserve"> Verarbeitung von Eingaben/Ausgaben KI-gestützter Dienste über den Gosign-Gateway (Pseudonymisierung vor Modell-Aufruf, Wieder- Einsetzung danach, Schlüssel-/Budget-Verwaltung, Audit-Protokollierung). Stammblatt nach Art. 28 Abs. 3 UAbs. 1 DSGVO (je Vertrag auszufüllen):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</w:rPr>
              <w:t xml:space="preserve">Gegenstand</w:t>
            </w:r>
          </w:p>
        </w:tc>
        <w:tc>
          <w:p>
            <w:r>
              <w:rPr>
                <w:b/>
                <w:bCs/>
              </w:rPr>
              <w:t xml:space="preserve">Dauer</w:t>
            </w:r>
          </w:p>
        </w:tc>
        <w:tc>
          <w:p>
            <w:r>
              <w:rPr>
                <w:b/>
                <w:bCs/>
              </w:rPr>
              <w:t xml:space="preserve">Art und Zweck der Verarbeitung</w:t>
            </w:r>
          </w:p>
        </w:tc>
        <w:tc>
          <w:p>
            <w:r>
              <w:rPr>
                <w:b/>
                <w:bCs/>
              </w:rPr>
              <w:t xml:space="preserve">Datenarten</w:t>
            </w:r>
          </w:p>
        </w:tc>
        <w:tc>
          <w:p>
            <w:r>
              <w:rPr>
                <w:b/>
                <w:bCs/>
              </w:rPr>
              <w:t xml:space="preserve">Kategorien betroffener Personen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</w:rPr>
              <w:t xml:space="preserve">[AUSFÜLLEN]</w:t>
            </w:r>
          </w:p>
        </w:tc>
        <w:tc>
          <w:p>
            <w:r>
              <w:rPr>
                <w:b w:val="false"/>
                <w:bCs w:val="false"/>
              </w:rPr>
              <w:t xml:space="preserve">[AUSFÜLLEN]</w:t>
            </w:r>
          </w:p>
        </w:tc>
        <w:tc>
          <w:p>
            <w:r>
              <w:rPr>
                <w:b w:val="false"/>
                <w:bCs w:val="false"/>
              </w:rPr>
              <w:t xml:space="preserve">[AUSFÜLLEN]</w:t>
            </w:r>
          </w:p>
        </w:tc>
        <w:tc>
          <w:p>
            <w:r>
              <w:rPr>
                <w:b w:val="false"/>
                <w:bCs w:val="false"/>
              </w:rPr>
              <w:t xml:space="preserve">[AUSFÜLLEN]</w:t>
            </w:r>
          </w:p>
        </w:tc>
        <w:tc>
          <w:p>
            <w:r>
              <w:rPr>
                <w:b w:val="false"/>
                <w:bCs w:val="false"/>
              </w:rPr>
              <w:t xml:space="preserve">[AUSFÜLLEN]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2. Personal-Verpflichtung.</w:t>
      </w:r>
      <w:r>
        <w:rPr>
          <w:b w:val="false"/>
          <w:bCs w:val="false"/>
        </w:rPr>
        <w:t xml:space="preserve"> Alle mit der Verarbeitung befassten Personen sind auf Vertraulichkeit nach Art. 28 Abs. 3 lit. b, Art. 32 DSGVO </w:t>
      </w:r>
      <w:r>
        <w:rPr>
          <w:b/>
          <w:bCs/>
        </w:rPr>
        <w:t xml:space="preserve">und</w:t>
      </w:r>
      <w:r>
        <w:rPr>
          <w:b w:val="false"/>
          <w:bCs w:val="false"/>
        </w:rPr>
        <w:t xml:space="preserve"> zur Verschwiegenheit nach § 203 StGB in Textform verpflichtet und über die Strafbarkeit belehrt (siehe Zusatzvereinbarung, § 3-4).</w:t>
      </w:r>
    </w:p>
    <w:p>
      <w:pPr>
        <w:spacing w:after="120"/>
      </w:pPr>
      <w:r>
        <w:rPr>
          <w:b/>
          <w:bCs/>
        </w:rPr>
        <w:t xml:space="preserve">3. Gateway-Regeln (technisch-organisatorische Kernzusagen).</w:t>
      </w:r>
      <w:r>
        <w:rPr>
          <w:b w:val="false"/>
          <w:bCs w:val="false"/>
        </w:rPr>
        <w:t xml:space="preserve"> a) </w:t>
      </w:r>
      <w:r>
        <w:rPr>
          <w:b/>
          <w:bCs/>
        </w:rPr>
        <w:t xml:space="preserve">Zero-Retention im Gateway:</w:t>
      </w:r>
      <w:r>
        <w:rPr>
          <w:b w:val="false"/>
          <w:bCs w:val="false"/>
        </w:rPr>
        <w:t xml:space="preserve"> Klartext-Inhalte werden nicht persistent gespeichert; Verarbeitung erfolgt transient. b) </w:t>
      </w:r>
      <w:r>
        <w:rPr>
          <w:b/>
          <w:bCs/>
        </w:rPr>
        <w:t xml:space="preserve">Pseudonym-Mappings</w:t>
      </w:r>
      <w:r>
        <w:rPr>
          <w:b w:val="false"/>
          <w:bCs w:val="false"/>
        </w:rPr>
        <w:t xml:space="preserve"> sind ephemer bzw. mandantenindividuell verschlüsselt mit definierter TTL; kein menschlicher Zugriff im Regelbetrieb. c) </w:t>
      </w:r>
      <w:r>
        <w:rPr>
          <w:b/>
          <w:bCs/>
        </w:rPr>
        <w:t xml:space="preserve">Break-Glass:</w:t>
      </w:r>
      <w:r>
        <w:rPr>
          <w:b w:val="false"/>
          <w:bCs w:val="false"/>
        </w:rPr>
        <w:t xml:space="preserve"> Ausnahme-Zugriffe nur nach Vier-Augen-Prinzip, protokolliert, mit nachträglicher Information des Verantwortlichen. d) </w:t>
      </w:r>
      <w:r>
        <w:rPr>
          <w:b/>
          <w:bCs/>
        </w:rPr>
        <w:t xml:space="preserve">Audit-Protokoll klartextfrei:</w:t>
      </w:r>
      <w:r>
        <w:rPr>
          <w:b w:val="false"/>
          <w:bCs w:val="false"/>
        </w:rPr>
        <w:t xml:space="preserve"> append-only, hash-verkettet, ohne Inhaltsklartext (Hash-Referenzen), inkl. Modell-/ Versions-Metadaten. e) </w:t>
      </w:r>
      <w:r>
        <w:rPr>
          <w:b/>
          <w:bCs/>
        </w:rPr>
        <w:t xml:space="preserve">Schlüssel</w:t>
      </w:r>
      <w:r>
        <w:rPr>
          <w:b w:val="false"/>
          <w:bCs w:val="false"/>
        </w:rPr>
        <w:t xml:space="preserve"> der Modell-Anbieter liegen in einem Schlüsselverwaltungssystem; mandantengetrennte Verwaltung. *(Stand der Umsetzung: Anforderungs-Zusagen des Angebots; produktive Feature-Zusagen erst nach Umsetzungs-Nachweis.)*</w:t>
      </w:r>
    </w:p>
    <w:p>
      <w:pPr>
        <w:spacing w:after="120"/>
      </w:pPr>
      <w:r>
        <w:rPr>
          <w:b/>
          <w:bCs/>
        </w:rPr>
        <w:t xml:space="preserve">4. Weisungen, Unterstützung, Betroffenenrechte.</w:t>
      </w:r>
      <w:r>
        <w:rPr>
          <w:b w:val="false"/>
          <w:bCs w:val="false"/>
        </w:rPr>
        <w:t xml:space="preserve"> Verarbeitung nur auf dokumentierte Weisung; Unterstützung bei Betroffenenrechten (Art. 12-23) sowie nach Art. 28 Abs. 3 lit. f DSGVO bei den Pflichten aus den Artikeln 32 bis 36 DSGVO: Sicherheit (Art. 32), Meldungen (Art. 33/34: unverzüglich, spätestens so, dass der Verantwortliche seine 72-Stunden-Frist wahren kann), DSFA und Vorabkonsultation (Art. 35/36 - Zulieferbaustein: DSFA-Vorlage).</w:t>
      </w:r>
    </w:p>
    <w:p>
      <w:pPr>
        <w:spacing w:after="120"/>
      </w:pPr>
      <w:r>
        <w:rPr>
          <w:b/>
          <w:bCs/>
        </w:rPr>
        <w:t xml:space="preserve">5. Subprozessoren.</w:t>
      </w:r>
      <w:r>
        <w:rPr>
          <w:b w:val="false"/>
          <w:bCs w:val="false"/>
        </w:rPr>
        <w:t xml:space="preserve"> Nur gemäß Subprozessoren-Liste (inkl. § 203- Kettenverpflichtung nach Zusatzvereinbarung § 3); Änderungen mit Vorab-Information und Widerspruchsrecht.</w:t>
      </w:r>
    </w:p>
    <w:p>
      <w:pPr>
        <w:spacing w:after="120"/>
      </w:pPr>
      <w:r>
        <w:rPr>
          <w:b/>
          <w:bCs/>
        </w:rPr>
        <w:t xml:space="preserve">6. Drittlandtransfers.</w:t>
      </w:r>
      <w:r>
        <w:rPr>
          <w:b w:val="false"/>
          <w:bCs w:val="false"/>
        </w:rPr>
        <w:t xml:space="preserve"> Nur nach Maßgabe des Drittlandtransfer-Bausteins. CLOUD-Act-freie Wege sind vorgesehen; den aktuellen Status je Bezugsweg weist die Subprozessoren-Liste aus.</w:t>
      </w:r>
    </w:p>
    <w:p>
      <w:pPr>
        <w:spacing w:after="120"/>
      </w:pPr>
      <w:r>
        <w:rPr>
          <w:b/>
          <w:bCs/>
        </w:rPr>
        <w:t xml:space="preserve">7. Löschung/Rückgabe.</w:t>
      </w:r>
      <w:r>
        <w:rPr>
          <w:b w:val="false"/>
          <w:bCs w:val="false"/>
        </w:rPr>
        <w:t xml:space="preserve"> Nach Vertragsende Löschung bzw. Rückgabe gemäß dem Baustein zu Aufbewahrung, Einwilligung und Transparenz; gesetzliche Aufbewahrungspflichten bleiben unberührt.</w:t>
      </w:r>
    </w:p>
    <w:p>
      <w:pPr>
        <w:spacing w:after="120"/>
      </w:pPr>
      <w:r>
        <w:rPr>
          <w:b/>
          <w:bCs/>
        </w:rPr>
        <w:t xml:space="preserve">8. Nachweis- und Prüfrechte.</w:t>
      </w:r>
      <w:r>
        <w:rPr>
          <w:b w:val="false"/>
          <w:bCs w:val="false"/>
        </w:rPr>
        <w:t xml:space="preserve"> Gosign stellt dem Verantwortlichen alle zum Nachweis der Einhaltung dieses Bausteins erforderlichen Informationen zur Verfügung und duldet und unterstützt Überprüfungen - einschließlich Inspektionen - durch den Verantwortlichen oder einen von ihm beauftragten, seinerseits der Verschwiegenheit unterliegenden Prüfer (Art. 28 Abs. 3 lit. h DSGVO).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Auftragsverarbeitungsvertrag — Baustein</dc:title>
  <dc:creator>Gosign GmbH</dc:creator>
  <dc:description>203er-Vertragskit — Muster zur anwaltlichen Einzelfall-Anpassung</dc:description>
  <cp:lastModifiedBy>Un-named</cp:lastModifiedBy>
  <cp:revision>1</cp:revision>
  <dcterms:created xsi:type="dcterms:W3CDTF">2026-08-20T05:10:42.859Z</dcterms:created>
  <dcterms:modified xsi:type="dcterms:W3CDTF">2026-08-20T05:10:42.859Z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